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F26DC1" w:rsidP="009566E0">
      <w:pPr>
        <w:rPr>
          <w:sz w:val="28"/>
        </w:rPr>
      </w:pPr>
      <w:r>
        <w:rPr>
          <w:sz w:val="28"/>
        </w:rPr>
        <w:t>От 16</w:t>
      </w:r>
      <w:r w:rsidR="005812E1">
        <w:rPr>
          <w:sz w:val="28"/>
        </w:rPr>
        <w:t>.12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F26DC1">
              <w:t>от 16.12.2021 №130</w:t>
            </w:r>
            <w:r w:rsidR="00F43384">
              <w:t xml:space="preserve"> </w:t>
            </w:r>
            <w:r w:rsidR="005812E1">
              <w:t>«</w:t>
            </w:r>
            <w:r w:rsidR="00F26DC1" w:rsidRPr="00F26DC1">
              <w:t>Об утверждении Порядка разработки прогноза социально-экономического развития Елнатского сельского поселения Юрьевецкого муниципального района Ивановской области</w:t>
            </w:r>
            <w:r w:rsidR="00F26DC1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 xml:space="preserve">пределенность - употребление </w:t>
            </w:r>
            <w:proofErr w:type="spellStart"/>
            <w:r w:rsidR="00F43384">
              <w:t>не</w:t>
            </w:r>
            <w:r>
              <w:t>устоявшихся</w:t>
            </w:r>
            <w:proofErr w:type="spellEnd"/>
            <w:r>
              <w:t>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F1AF1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5027A"/>
    <w:rsid w:val="0057426F"/>
    <w:rsid w:val="005812E1"/>
    <w:rsid w:val="005D4C5A"/>
    <w:rsid w:val="0064120D"/>
    <w:rsid w:val="006C38B8"/>
    <w:rsid w:val="007359BA"/>
    <w:rsid w:val="00757F83"/>
    <w:rsid w:val="00780E50"/>
    <w:rsid w:val="007825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0637D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26DC1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51</cp:revision>
  <cp:lastPrinted>2019-10-23T08:38:00Z</cp:lastPrinted>
  <dcterms:created xsi:type="dcterms:W3CDTF">2016-01-29T06:13:00Z</dcterms:created>
  <dcterms:modified xsi:type="dcterms:W3CDTF">2022-03-30T09:05:00Z</dcterms:modified>
</cp:coreProperties>
</file>