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26" w:rsidRDefault="00320585">
      <w:pPr>
        <w:rPr>
          <w:b/>
          <w:sz w:val="24"/>
          <w:szCs w:val="24"/>
          <w:lang w:val="ru-RU"/>
        </w:rPr>
      </w:pPr>
      <w:r w:rsidRPr="00320585">
        <w:rPr>
          <w:b/>
          <w:sz w:val="24"/>
          <w:szCs w:val="24"/>
          <w:lang w:val="ru-RU"/>
        </w:rPr>
        <w:t>Состояние окружающей среды на территории Елнатского сельского поселения</w:t>
      </w:r>
    </w:p>
    <w:p w:rsidR="00320585" w:rsidRPr="00F836D6" w:rsidRDefault="00320585" w:rsidP="0032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F836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Климат</w:t>
      </w:r>
    </w:p>
    <w:p w:rsidR="00320585" w:rsidRPr="00D53E29" w:rsidRDefault="00320585" w:rsidP="006E0C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ab/>
      </w:r>
      <w:r w:rsidRPr="0032058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Территория Елнатского сельского поселения относится к умеренно-континентальному климату с холодной многоснежной зимой и жарким летом.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2058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Преобладающим направлением ветра в течение года является юго-западное. Высота снежного покрова в среднем 70-80 см. Нормативная глубина промерзания грунтов 1,62 м.</w:t>
      </w:r>
      <w:r w:rsidR="006E0CA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Основное влияние на климат оказывают воздушные массы умеренных широт, переносимых господствующими западными потоками. Орошение атмосферными осадками происходит главным образом за счет влаги Атлантического океана, которых в среднем за год выпадает около 600 мм.</w:t>
      </w:r>
      <w:r w:rsidR="006E0CA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среднем 260 дней в году (72%) </w:t>
      </w:r>
      <w:proofErr w:type="gramStart"/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благоприятны</w:t>
      </w:r>
      <w:proofErr w:type="gramEnd"/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по погодным условиям для отдыха, 56 дней (15%) – ограниченно-благоприятные.</w:t>
      </w:r>
    </w:p>
    <w:p w:rsidR="007F5691" w:rsidRPr="006E0CA2" w:rsidRDefault="00523C7C" w:rsidP="007F569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bookmarkStart w:id="0" w:name="_Toc131076397"/>
      <w:r w:rsidRPr="00523C7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 w:rsidR="007F5691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Атмосферный воздух</w:t>
      </w:r>
    </w:p>
    <w:p w:rsidR="007F5691" w:rsidRPr="002F0013" w:rsidRDefault="007F5691" w:rsidP="007F5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Постов наблюдений за фоновой загрязн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енностью атмосферного воздуха на территории поселения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нет.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а территории сельского поселения нет крупных промышленных и энергетических предприятий, магистральных автодорог,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что позволяет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вывод о том, что фоновая загрязненность атмосферного воздуха находится в пределах нормы (Доклад о состоянии и об охране окружающей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среды Ивановской области в 2012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г.).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Предлагаемые Генеральным планом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>ероприяти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 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>снижени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риска загрязнений 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>атмосферного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воздуха: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улучше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ние качества дорожного покрытия,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населенных пунктах полив и уборка основных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улиц в период засушливой погоды,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озеленение при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дорожных территорий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 подбором древесно-кустарниковых пород для улучшения </w:t>
      </w:r>
      <w:proofErr w:type="spellStart"/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ум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газопоглощающего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эффекта,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озеленение санитарно-защитных зон с двухъярус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ной посадкой зеленых насаждений, перевод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систем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теплоснабжения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на </w:t>
      </w:r>
      <w:r w:rsidRPr="00E9535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природный газ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6D7B5D" w:rsidRPr="006D7B5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6D7B5D" w:rsidRPr="009828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На территории Елнатского сельского поселения радиационно-опасных объектов, складов удобрений и химикатов не расположено.</w:t>
      </w:r>
      <w:r w:rsidR="00CE77B3" w:rsidRPr="00CE7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>На территории поселения возможны опасные метеорологические явления: сильные или продолжительные ветры, в том числе смерчи, ураганы, осадки, град, снегопады, метель, морозы, жара, гололед, грозы, туманы.</w:t>
      </w:r>
      <w:proofErr w:type="gramEnd"/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по защите от оп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 xml:space="preserve">асных метеорологических явлений: </w:t>
      </w:r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прогнозировани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и оповещени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 xml:space="preserve">е населения, </w:t>
      </w:r>
      <w:proofErr w:type="gramStart"/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proofErr w:type="gramEnd"/>
      <w:r w:rsidR="00CE77B3"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состоянием зеленых насаждений, коммунальной инфраструктуры.</w:t>
      </w:r>
    </w:p>
    <w:p w:rsidR="00320585" w:rsidRPr="00523C7C" w:rsidRDefault="007F5691" w:rsidP="00523C7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7F569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 w:rsidR="00320585" w:rsidRPr="00F836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Гидрография</w:t>
      </w:r>
      <w:bookmarkEnd w:id="0"/>
      <w:r w:rsidR="00523C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,</w:t>
      </w:r>
      <w:r w:rsidR="00523C7C" w:rsidRPr="00523C7C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</w:t>
      </w:r>
      <w:r w:rsidR="00523C7C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п</w:t>
      </w:r>
      <w:r w:rsidR="00523C7C" w:rsidRPr="002F0013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одземны</w:t>
      </w:r>
      <w:r w:rsidR="00523C7C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е</w:t>
      </w:r>
      <w:r w:rsidR="00523C7C" w:rsidRPr="002F0013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и поверхностны</w:t>
      </w:r>
      <w:r w:rsidR="00523C7C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е</w:t>
      </w:r>
      <w:r w:rsidR="00523C7C" w:rsidRPr="002F0013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вод</w:t>
      </w:r>
      <w:r w:rsidR="00523C7C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ы</w:t>
      </w:r>
    </w:p>
    <w:p w:rsidR="00320585" w:rsidRDefault="00320585" w:rsidP="0032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Северные и западные границы поселения проходят по акватории Горьковского водохранилища (русловая часть). </w:t>
      </w:r>
      <w:proofErr w:type="gramStart"/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Распоряжением Правительства РФ от 31.12.2008 № 2054-р Горьковское водохранилище включено в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</w:t>
      </w:r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Вся территория поселения расположена в водосборном бассейне р. Волга и её правобережных притоков – рек Елнать, Воля и правобережного притока реки Елнать – реки Паж. Естественное русло рек извилистое, заросшее водной растительностью. Питание преимущественно снеговое с большей долей </w:t>
      </w:r>
      <w:proofErr w:type="gramStart"/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дождевого</w:t>
      </w:r>
      <w:proofErr w:type="gramEnd"/>
      <w:r w:rsidRPr="00D53E2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 меньшей грунтового.</w:t>
      </w:r>
    </w:p>
    <w:p w:rsidR="00523C7C" w:rsidRPr="002F0013" w:rsidRDefault="00523C7C" w:rsidP="0052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доль рек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соответствии с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Водным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кодексом Российской Федерации установлены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водоохранны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</w:t>
      </w:r>
      <w:proofErr w:type="spellEnd"/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зон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(ВОЗ)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 прибрежны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защитны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полос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ы.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Ширина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ВОЗ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я рек или ручьев протяженностью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 </w:t>
      </w:r>
      <w:smartTag w:uri="urn:schemas-microsoft-com:office:smarttags" w:element="metricconverter">
        <w:smartTagPr>
          <w:attr w:name="ProductID" w:val="10 км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10 км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в размере 50-ти метров;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от </w:t>
      </w:r>
      <w:smartTag w:uri="urn:schemas-microsoft-com:office:smarttags" w:element="metricconverter">
        <w:smartTagPr>
          <w:attr w:name="ProductID" w:val="10 км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10 км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до </w:t>
      </w:r>
      <w:smartTag w:uri="urn:schemas-microsoft-com:office:smarttags" w:element="metricconverter">
        <w:smartTagPr>
          <w:attr w:name="ProductID" w:val="50 км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50 км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в размере </w:t>
      </w:r>
      <w:smartTag w:uri="urn:schemas-microsoft-com:office:smarttags" w:element="metricconverter">
        <w:smartTagPr>
          <w:attr w:name="ProductID" w:val="100 метров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100 метров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от </w:t>
      </w:r>
      <w:smartTag w:uri="urn:schemas-microsoft-com:office:smarttags" w:element="metricconverter">
        <w:smartTagPr>
          <w:attr w:name="ProductID" w:val="50 км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50 км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и более – в размере </w:t>
      </w:r>
      <w:smartTag w:uri="urn:schemas-microsoft-com:office:smarttags" w:element="metricconverter">
        <w:smartTagPr>
          <w:attr w:name="ProductID" w:val="200 метров"/>
        </w:smartTagPr>
        <w:r w:rsidRPr="002F0013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200 метров</w:t>
        </w:r>
      </w:smartTag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523C7C" w:rsidRDefault="00523C7C" w:rsidP="0052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пределах ВОЗ з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апрещается: и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спользование сточных вод для удобрений почв;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р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существление авиационных мер по борьбе с вредителями и болезнями растений;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д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границах прибрежных защитных полос наряду с ограничениями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ВОЗ запрещается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распашка земель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размещение отвалов размываемых грунтов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выпас сельскохозяйственных животных и организация для них летних лагерей, ванн.</w:t>
      </w:r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523C7C" w:rsidRDefault="00523C7C" w:rsidP="00523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 границах ВОЗ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</w:r>
      <w:r w:rsidRPr="002F001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истощение вод в соответствии с водным законодательством и законодательством в области охраны окружающей среды.</w:t>
      </w:r>
    </w:p>
    <w:p w:rsidR="007F5691" w:rsidRPr="002F0013" w:rsidRDefault="00523C7C" w:rsidP="007F56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gramStart"/>
      <w:r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Санитарно-эпидемиологическую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безопасность</w:t>
      </w:r>
      <w:r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водопроводов хозяйственно-питьевого назначения обеспечивают зоны санитарной охраны источников водоснабжения и водопроводов питьевого назначения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СанПиН</w:t>
      </w:r>
      <w:proofErr w:type="spellEnd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2.1.4.1110-02 «Зоны санитарной охраны источников водоснабжения и водопроводов питьевого назначения» и СП 31.13330.2012 Водоснабжение.</w:t>
      </w:r>
      <w:proofErr w:type="gramEnd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Наружные сети и сооружения. Актуализированная редакция </w:t>
      </w:r>
      <w:proofErr w:type="spellStart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НиП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2.04.02-84* (с Изменением №</w:t>
      </w:r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1)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).</w:t>
      </w:r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>Для предотвращения снижения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уровней водоносных горизонтов </w:t>
      </w:r>
      <w:r w:rsidRPr="00AD288B">
        <w:rPr>
          <w:rFonts w:ascii="Times New Roman" w:hAnsi="Times New Roman" w:cs="Times New Roman"/>
          <w:sz w:val="24"/>
          <w:szCs w:val="24"/>
          <w:lang w:val="ru-RU"/>
        </w:rPr>
        <w:t>и загря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знения подземных вод необходимо </w:t>
      </w:r>
      <w:r w:rsidRPr="00D97CF2">
        <w:rPr>
          <w:sz w:val="24"/>
          <w:szCs w:val="24"/>
          <w:lang w:val="ru-RU"/>
        </w:rPr>
        <w:t>устройство ограждения зон санитарной охраны на существующих водозаборах</w:t>
      </w:r>
      <w:r>
        <w:rPr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D97CF2">
        <w:rPr>
          <w:sz w:val="24"/>
          <w:szCs w:val="24"/>
          <w:lang w:val="ru-RU"/>
        </w:rPr>
        <w:t>проведение систем учета и контроля над потреблением питьевой воды</w:t>
      </w:r>
      <w:r>
        <w:rPr>
          <w:sz w:val="24"/>
          <w:szCs w:val="24"/>
          <w:lang w:val="ru-RU"/>
        </w:rPr>
        <w:t xml:space="preserve">, </w:t>
      </w:r>
      <w:r w:rsidRPr="00D97CF2">
        <w:rPr>
          <w:sz w:val="24"/>
          <w:szCs w:val="24"/>
          <w:lang w:val="ru-RU"/>
        </w:rPr>
        <w:t>обеспечение качества питьевой воды, путем внедрения средств очистки.</w:t>
      </w:r>
    </w:p>
    <w:p w:rsidR="007F5691" w:rsidRDefault="007F5691" w:rsidP="007F5691">
      <w:pPr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>
        <w:rPr>
          <w:i/>
          <w:lang w:val="ru-RU"/>
        </w:rPr>
        <w:tab/>
      </w:r>
      <w:r w:rsidR="0092067B" w:rsidRPr="0092067B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Земельные ресурсы,</w:t>
      </w:r>
      <w:r w:rsidR="0092067B">
        <w:rPr>
          <w:i/>
          <w:lang w:val="ru-RU"/>
        </w:rPr>
        <w:t xml:space="preserve"> </w:t>
      </w:r>
      <w:r w:rsidR="0092067B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п</w:t>
      </w:r>
      <w:r w:rsidRPr="00AF1FF2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очв</w:t>
      </w:r>
      <w:r w:rsidR="0092067B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ы, недра</w:t>
      </w:r>
      <w:r w:rsidRPr="00AF1FF2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 </w:t>
      </w:r>
    </w:p>
    <w:p w:rsidR="0092067B" w:rsidRPr="0092067B" w:rsidRDefault="00913E02" w:rsidP="00920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Большая часть т</w:t>
      </w:r>
      <w:r w:rsidRPr="00913E02">
        <w:rPr>
          <w:rFonts w:ascii="Times New Roman" w:hAnsi="Times New Roman" w:cs="Times New Roman"/>
          <w:bCs/>
          <w:sz w:val="24"/>
          <w:szCs w:val="24"/>
          <w:lang w:val="ru-RU"/>
        </w:rPr>
        <w:t>ерритори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поселения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занята</w:t>
      </w:r>
      <w:r w:rsidRP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земля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ми</w:t>
      </w:r>
      <w:r w:rsidRP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сельскохозяйственного назначения</w:t>
      </w:r>
      <w:r w:rsidR="00CF0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CF0C57">
        <w:rPr>
          <w:rFonts w:ascii="Times New Roman" w:hAnsi="Times New Roman" w:cs="Times New Roman"/>
          <w:bCs/>
          <w:sz w:val="24"/>
          <w:szCs w:val="24"/>
          <w:lang w:val="ru-RU"/>
        </w:rPr>
        <w:t>особо-ценных</w:t>
      </w:r>
      <w:proofErr w:type="spellEnd"/>
      <w:r w:rsidR="00CF0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сельхозугодий нет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F0C57">
        <w:rPr>
          <w:lang w:val="ru-RU"/>
        </w:rPr>
        <w:t xml:space="preserve"> </w:t>
      </w:r>
      <w:r w:rsidR="00CF0C57" w:rsidRPr="00CF0C57">
        <w:rPr>
          <w:rFonts w:ascii="Times New Roman" w:hAnsi="Times New Roman" w:cs="Times New Roman"/>
          <w:bCs/>
          <w:sz w:val="24"/>
          <w:szCs w:val="24"/>
          <w:lang w:val="ru-RU"/>
        </w:rPr>
        <w:t>Преобладающий тип почв — дерново-подзолистый с малым количеством гумуса, суглинистый.</w:t>
      </w:r>
      <w:r w:rsidR="00CF0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83575" w:rsidRPr="00483575">
        <w:rPr>
          <w:sz w:val="24"/>
          <w:szCs w:val="24"/>
          <w:lang w:val="ru-RU"/>
        </w:rPr>
        <w:t>На территории поселения располагается мелиоративная система осушения «</w:t>
      </w:r>
      <w:proofErr w:type="spellStart"/>
      <w:r w:rsidR="00483575" w:rsidRPr="00483575">
        <w:rPr>
          <w:sz w:val="24"/>
          <w:szCs w:val="24"/>
          <w:lang w:val="ru-RU"/>
        </w:rPr>
        <w:t>Баланино-Ломки</w:t>
      </w:r>
      <w:proofErr w:type="spellEnd"/>
      <w:r w:rsidR="00483575" w:rsidRPr="00483575">
        <w:rPr>
          <w:sz w:val="24"/>
          <w:szCs w:val="24"/>
          <w:lang w:val="ru-RU"/>
        </w:rPr>
        <w:t>», находящаяся в ведении ФГБУ «Управление «</w:t>
      </w:r>
      <w:proofErr w:type="spellStart"/>
      <w:r w:rsidR="00483575" w:rsidRPr="00483575">
        <w:rPr>
          <w:sz w:val="24"/>
          <w:szCs w:val="24"/>
          <w:lang w:val="ru-RU"/>
        </w:rPr>
        <w:t>Ивановомелиоводхоз</w:t>
      </w:r>
      <w:proofErr w:type="spellEnd"/>
      <w:r w:rsidR="00483575" w:rsidRPr="00483575">
        <w:rPr>
          <w:sz w:val="24"/>
          <w:szCs w:val="24"/>
          <w:lang w:val="ru-RU"/>
        </w:rPr>
        <w:t>». Водоприемниками системы служат реки Воля и Паж. Фактическая площадь, обслуживаемая мелиоративной системой – 1,89 тыс. га.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небольшой части земель выявлен борщевик Сосновского -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необрабатываемые участки полей, полосы отвода дорог и даже приусадебные участки.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Ответственными за проведение мероприятий по уничтожению борщевика Сосновского на территори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ях общего пользования в населенных пунктах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являются органы мес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тного самоуправления, на землях, 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 находятся в собственности, пользовании или в аренде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067B" w:rsidRPr="00920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землепользователи. В соответствии со ст. 13 Земельного кодекса РФ в целях охраны земель собственники участков, землепользователи, землевладельцы и арендаторы обязаны защищать сельскохозяйственные угодья от зарастания сорными растениями, в том числе и от борщевика.</w:t>
      </w:r>
    </w:p>
    <w:p w:rsidR="0092067B" w:rsidRDefault="006D7B5D" w:rsidP="006D7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поселения возможны береговая и овражная эрозия, абразия, оползни, подтопления, затопления. В результате обильных осадков, интенсивного таяния снегов возможен разлив реки Елнать. В зоне возможного подтопления может оказаться д. </w:t>
      </w:r>
      <w:proofErr w:type="gramStart"/>
      <w:r w:rsidRPr="00220700">
        <w:rPr>
          <w:rFonts w:ascii="Times New Roman" w:hAnsi="Times New Roman" w:cs="Times New Roman"/>
          <w:sz w:val="24"/>
          <w:szCs w:val="24"/>
          <w:lang w:val="ru-RU"/>
        </w:rPr>
        <w:t>Царево</w:t>
      </w:r>
      <w:proofErr w:type="gramEnd"/>
      <w:r w:rsidRPr="0022070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>Территории, примыкающие к перерабатываемому берегу Горьковского водохранилища, расположены в зоне оползней, в том числе д.</w:t>
      </w:r>
      <w:r w:rsidRPr="00B3560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20700">
        <w:rPr>
          <w:rFonts w:ascii="Times New Roman" w:hAnsi="Times New Roman" w:cs="Times New Roman"/>
          <w:sz w:val="24"/>
          <w:szCs w:val="24"/>
          <w:lang w:val="ru-RU"/>
        </w:rPr>
        <w:t>Ершиха</w:t>
      </w:r>
      <w:proofErr w:type="spellEnd"/>
      <w:r w:rsidRPr="00220700">
        <w:rPr>
          <w:rFonts w:ascii="Times New Roman" w:hAnsi="Times New Roman" w:cs="Times New Roman"/>
          <w:sz w:val="24"/>
          <w:szCs w:val="24"/>
          <w:lang w:val="ru-RU"/>
        </w:rPr>
        <w:t>. Мероприятия по защите от опасных геологических, гидрологических процессов осуществляются путем проведения инженерной подготовки территории, в том числе организацией ливневого стока.</w:t>
      </w:r>
      <w:r w:rsidR="00913E02" w:rsidRPr="00913E0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Мероприятия, направленные на улучшение состояния почв: ликвидация несанкционированных свалок с последующей их рекультивацией,  ведение разъяснительной работы с населением</w:t>
      </w:r>
      <w:r w:rsidR="00913E0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</w:t>
      </w:r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оборудование площадок для </w:t>
      </w:r>
      <w:r w:rsidR="00913E0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контейнеров</w:t>
      </w:r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913E0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ТКО</w:t>
      </w:r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согласно действующим санитарным нормам (</w:t>
      </w:r>
      <w:proofErr w:type="spellStart"/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СанПиН</w:t>
      </w:r>
      <w:proofErr w:type="spellEnd"/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42-128-4690-88.</w:t>
      </w:r>
      <w:proofErr w:type="gramEnd"/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913E02" w:rsidRPr="00D97C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Санитарные правила содержа</w:t>
      </w:r>
      <w:r w:rsidR="00913E0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ния территории населенных мест).</w:t>
      </w:r>
      <w:proofErr w:type="gramEnd"/>
    </w:p>
    <w:p w:rsidR="007F5691" w:rsidRDefault="0092067B" w:rsidP="006D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Месторождений </w:t>
      </w:r>
      <w:r w:rsidRPr="0092067B">
        <w:rPr>
          <w:rFonts w:ascii="Times New Roman" w:hAnsi="Times New Roman" w:cs="Times New Roman"/>
          <w:sz w:val="24"/>
          <w:szCs w:val="24"/>
          <w:lang w:val="ru-RU"/>
        </w:rPr>
        <w:t>общераспространенных полезных ископаемых</w:t>
      </w:r>
      <w:r w:rsidR="00913E02" w:rsidRPr="006D7B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территории поселения не выявлено.</w:t>
      </w:r>
    </w:p>
    <w:p w:rsidR="00320585" w:rsidRPr="00F836D6" w:rsidRDefault="00320585" w:rsidP="003205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836D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Животный мир</w:t>
      </w:r>
    </w:p>
    <w:p w:rsidR="00320585" w:rsidRPr="006E0CA2" w:rsidRDefault="00320585" w:rsidP="003205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территории </w:t>
      </w:r>
      <w:r w:rsidRPr="00D53E29">
        <w:rPr>
          <w:rFonts w:ascii="Times New Roman" w:hAnsi="Times New Roman" w:cs="Times New Roman"/>
          <w:sz w:val="24"/>
          <w:szCs w:val="24"/>
          <w:lang w:val="ru-RU"/>
        </w:rPr>
        <w:t xml:space="preserve">Елнатского сельского поселения 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выявлены места обитания животных, занес</w:t>
      </w:r>
      <w:r w:rsidR="00786DD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нных в Красную книгу Ивановской об</w:t>
      </w:r>
      <w:r w:rsidR="00786DD8">
        <w:rPr>
          <w:rFonts w:ascii="Times New Roman" w:hAnsi="Times New Roman" w:cs="Times New Roman"/>
          <w:bCs/>
          <w:sz w:val="24"/>
          <w:szCs w:val="24"/>
          <w:lang w:val="ru-RU"/>
        </w:rPr>
        <w:t>ласти</w:t>
      </w:r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786D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Часть территории поселения входит </w:t>
      </w:r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proofErr w:type="spellStart"/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>охотугодья</w:t>
      </w:r>
      <w:proofErr w:type="spellEnd"/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Ивановской области, а также </w:t>
      </w:r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20728D" w:rsidRPr="0020728D">
        <w:rPr>
          <w:lang w:val="ru-RU"/>
        </w:rPr>
        <w:t xml:space="preserve"> 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>ключевы</w:t>
      </w:r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орнитологически</w:t>
      </w:r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территори</w:t>
      </w:r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>и (</w:t>
      </w:r>
      <w:r w:rsidR="00AF5B17" w:rsidRPr="00AF5B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сведениям сайта «СОХРАНИМ РОССИЙСКИЕ ЛЕСА!» </w:t>
      </w:r>
      <w:hyperlink r:id="rId5" w:history="1">
        <w:r w:rsidR="00AF5B17" w:rsidRPr="004735F4">
          <w:rPr>
            <w:rStyle w:val="af5"/>
            <w:rFonts w:ascii="Times New Roman" w:hAnsi="Times New Roman" w:cs="Times New Roman"/>
            <w:bCs/>
            <w:sz w:val="24"/>
            <w:szCs w:val="24"/>
            <w:lang w:val="ru-RU"/>
          </w:rPr>
          <w:t>https://hcvf.ru/ru/zs/ivanovskaya-oblast-klyuchevye-ornitologicheskie-territorii-vpc-1</w:t>
        </w:r>
      </w:hyperlink>
      <w:proofErr w:type="gramStart"/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</w:t>
      </w:r>
      <w:proofErr w:type="gramEnd"/>
      <w:r w:rsidR="00AF5B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786D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C1DB2" w:rsidRPr="00CF0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Значительное снижение нагрузки на сельскохозяйственные земли за последние </w:t>
      </w:r>
      <w:r w:rsidR="005C1D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годы </w:t>
      </w:r>
      <w:r w:rsidR="005C1DB2" w:rsidRPr="00CF0C57">
        <w:rPr>
          <w:rFonts w:ascii="Times New Roman" w:hAnsi="Times New Roman" w:cs="Times New Roman"/>
          <w:bCs/>
          <w:sz w:val="24"/>
          <w:szCs w:val="24"/>
          <w:lang w:val="ru-RU"/>
        </w:rPr>
        <w:t>привело к улучшению состояния микрофлоры и фауны почвы, увеличению полезных насекомых, птиц</w:t>
      </w:r>
      <w:r w:rsidR="005C1D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>Основным водным объектом</w:t>
      </w:r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20728D" w:rsidRPr="0020728D">
        <w:rPr>
          <w:lang w:val="ru-RU"/>
        </w:rPr>
        <w:t xml:space="preserve"> 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>в акватории которого осуществля</w:t>
      </w:r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>ются</w:t>
      </w:r>
      <w:r w:rsidR="0020728D" w:rsidRPr="002072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все виды рыболовства,  является Горьковское водохранилище</w:t>
      </w:r>
      <w:r w:rsidR="0020728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320585" w:rsidRPr="00F836D6" w:rsidRDefault="00320585" w:rsidP="003205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836D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Растительность</w:t>
      </w:r>
    </w:p>
    <w:p w:rsidR="00320585" w:rsidRPr="006E0CA2" w:rsidRDefault="00320585" w:rsidP="003205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Очень много растений, занесенных в Красную книгу - </w:t>
      </w:r>
      <w:r w:rsidR="007E28D5"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из хвойных</w:t>
      </w:r>
      <w:r w:rsidR="007E28D5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7E28D5"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пихта сибирская, из цветковых: борец </w:t>
      </w:r>
      <w:proofErr w:type="spell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шерстистоустый</w:t>
      </w:r>
      <w:proofErr w:type="spell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воронец колосистый, дудник болотный, толокнянка обыкновенная, песчанка скальная, резуха </w:t>
      </w:r>
      <w:proofErr w:type="spell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повислая</w:t>
      </w:r>
      <w:proofErr w:type="spell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кирказон</w:t>
      </w:r>
      <w:proofErr w:type="spell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ломоносовидный</w:t>
      </w:r>
      <w:proofErr w:type="spell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, а также однодольные</w:t>
      </w:r>
      <w:r w:rsidR="007E28D5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частуха ланцетная, лук угловатый и огородный, спаржа лекарственная.</w:t>
      </w:r>
      <w:proofErr w:type="gram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Наиболее часто встречаемые ягоды - брусника, черника, гонобобель, голубика, костяника, а земляника представлена тремя видами.</w:t>
      </w:r>
    </w:p>
    <w:p w:rsidR="00320585" w:rsidRPr="00F836D6" w:rsidRDefault="00320585" w:rsidP="003205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836D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lastRenderedPageBreak/>
        <w:t>Лесосырьевые ресурсы</w:t>
      </w:r>
    </w:p>
    <w:p w:rsidR="006D7B5D" w:rsidRDefault="00320585" w:rsidP="006D7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На территории сельского поселения расположены защитные и эксплуатационные леса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являющиеся</w:t>
      </w:r>
      <w:r w:rsidRPr="003205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составу пород 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хвойно-широколиственны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 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(смешанны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ми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). Большинство лесов располагается на земельных участках сельскохозяйственного назначения (</w:t>
      </w:r>
      <w:proofErr w:type="spellStart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Юрьевецкое</w:t>
      </w:r>
      <w:proofErr w:type="spell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сельское участковое лесничество). Условия использования лесных участков на землях сельскохозяйственного назначения определены постановлением Правительства Российской Фед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ерации от 21 сентября 2020 г. №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1509.</w:t>
      </w:r>
      <w:r w:rsidR="006E0C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Земельные участки категории земель лесного фонда (Нагорное участковое лесничество) в поселении зарегистрированы только на островах в Горьковском водохранилище.</w:t>
      </w:r>
      <w:r w:rsidR="006E0CA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836D6">
        <w:rPr>
          <w:rFonts w:ascii="Times New Roman" w:hAnsi="Times New Roman" w:cs="Times New Roman"/>
          <w:bCs/>
          <w:sz w:val="24"/>
          <w:szCs w:val="24"/>
          <w:lang w:val="ru-RU"/>
        </w:rPr>
        <w:t>Леса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границах на</w:t>
      </w:r>
      <w:r w:rsidR="00F836D6">
        <w:rPr>
          <w:rFonts w:ascii="Times New Roman" w:hAnsi="Times New Roman" w:cs="Times New Roman"/>
          <w:bCs/>
          <w:sz w:val="24"/>
          <w:szCs w:val="24"/>
          <w:lang w:val="ru-RU"/>
        </w:rPr>
        <w:t>селенных пунктов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отсутствуют.</w:t>
      </w:r>
      <w:r w:rsidR="006D7B5D" w:rsidRPr="006D7B5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F836D6" w:rsidRPr="006D7B5D" w:rsidRDefault="006D7B5D" w:rsidP="0032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9828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Основными природоохранными мероприятиями в отношении растительного и животного мира муниципального образования являются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828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максимальное сохранение лесных насаждений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9828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создание оптимальных условий для поддержания видового разнообразия животного мира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соблюдение населением мер пожарной безопасности в лесах и на примыкающих территориях</w:t>
      </w:r>
      <w:r w:rsidRPr="009828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F836D6" w:rsidRPr="00F836D6" w:rsidRDefault="00F836D6" w:rsidP="00F83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836D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Объекты ритуального захоронения (кладбища)</w:t>
      </w:r>
    </w:p>
    <w:p w:rsidR="00F836D6" w:rsidRPr="006E0CA2" w:rsidRDefault="00F836D6" w:rsidP="006E0C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На территории Елнатского сельско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го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располагается 3 кладбища.</w:t>
      </w:r>
    </w:p>
    <w:p w:rsidR="00F836D6" w:rsidRPr="00F836D6" w:rsidRDefault="00F836D6" w:rsidP="00F83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F836D6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Объекты захоронения биологических отходов (скотомогильники, биотермические ямы)</w:t>
      </w:r>
    </w:p>
    <w:p w:rsidR="00F836D6" w:rsidRPr="00D53E29" w:rsidRDefault="00F836D6" w:rsidP="00F836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информации службы ветеринарии Ивановской области на территории </w:t>
      </w:r>
      <w:r w:rsidR="007E28D5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лнатского сельского поселения Юрьевецкого муниципального района расположены скотомогильники:</w:t>
      </w:r>
    </w:p>
    <w:p w:rsidR="00F836D6" w:rsidRDefault="00F836D6" w:rsidP="006E0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>простой законсервированный скотомогильник, площадью 350 м</w:t>
      </w:r>
      <w:proofErr w:type="gramStart"/>
      <w:r w:rsidRPr="00D53E29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>2</w:t>
      </w:r>
      <w:proofErr w:type="gramEnd"/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расположен в 1,5 км от с. Воля, имеет географические координаты: </w:t>
      </w:r>
      <w:proofErr w:type="gramStart"/>
      <w:r w:rsidRPr="00B35601">
        <w:rPr>
          <w:rFonts w:ascii="Times New Roman" w:hAnsi="Times New Roman" w:cs="Times New Roman"/>
          <w:bCs/>
          <w:sz w:val="24"/>
          <w:szCs w:val="24"/>
        </w:rPr>
        <w:t>N</w:t>
      </w:r>
      <w:r w:rsidRPr="00D5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57.294917 Е 43.004667.</w:t>
      </w:r>
      <w:proofErr w:type="gramEnd"/>
    </w:p>
    <w:p w:rsidR="009A1CC2" w:rsidRPr="009A1CC2" w:rsidRDefault="009A1CC2" w:rsidP="006E0C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9A1CC2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Твердые коммунальные отходы</w:t>
      </w:r>
    </w:p>
    <w:p w:rsidR="00523C7C" w:rsidRDefault="009A1CC2" w:rsidP="00523C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 2017 года сбор и вывоз ТК</w:t>
      </w:r>
      <w:r w:rsidR="00F836D6" w:rsidRPr="00A75F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территории поселения </w:t>
      </w:r>
      <w:r w:rsidR="00F836D6" w:rsidRPr="00A75F0D">
        <w:rPr>
          <w:rFonts w:ascii="Times New Roman" w:hAnsi="Times New Roman" w:cs="Times New Roman"/>
          <w:bCs/>
          <w:sz w:val="24"/>
          <w:szCs w:val="24"/>
          <w:lang w:val="ru-RU"/>
        </w:rPr>
        <w:t>организован по контейнерной системе, по утвержденному графику специализированной организацией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A1CC2">
        <w:rPr>
          <w:rFonts w:ascii="Times New Roman" w:hAnsi="Times New Roman" w:cs="Times New Roman"/>
          <w:bCs/>
          <w:sz w:val="24"/>
          <w:szCs w:val="24"/>
          <w:lang w:val="ru-RU"/>
        </w:rPr>
        <w:t>ООО «Региональный оператор по обращению с твердыми коммунальными отходам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и»;</w:t>
      </w:r>
      <w:r w:rsidRPr="009A1CC2">
        <w:rPr>
          <w:lang w:val="ru-RU"/>
        </w:rPr>
        <w:t xml:space="preserve"> </w:t>
      </w:r>
      <w:r w:rsidRPr="009A1CC2">
        <w:rPr>
          <w:rFonts w:ascii="Times New Roman" w:hAnsi="Times New Roman" w:cs="Times New Roman"/>
          <w:bCs/>
          <w:sz w:val="24"/>
          <w:szCs w:val="24"/>
          <w:lang w:val="ru-RU"/>
        </w:rPr>
        <w:t>на вывоз несанкционированных свалок денежны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9A1C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средств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 выделяются</w:t>
      </w:r>
      <w:r w:rsidRPr="009A1C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 бюджета Юрьевецкого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соглашению о передаче части полномочий.</w:t>
      </w:r>
    </w:p>
    <w:p w:rsidR="006D7B5D" w:rsidRPr="006D7B5D" w:rsidRDefault="006D7B5D" w:rsidP="00523C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6D7B5D"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  <w:t>Инженерные коммуникации</w:t>
      </w:r>
    </w:p>
    <w:p w:rsidR="006D7B5D" w:rsidRPr="00523C7C" w:rsidRDefault="006D7B5D" w:rsidP="00523C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>Для территории поселения характерна низкая насыщенн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ость инженерными коммуникациями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</w:t>
      </w:r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территории проходит автомобильная дорога регионального значения Кинешма – Юрьевец – Пучеж – Пурех, автомобильные дороги общего пользования межмуниципального значения Юрьевец – </w:t>
      </w:r>
      <w:proofErr w:type="spellStart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>Шилекша</w:t>
      </w:r>
      <w:proofErr w:type="spellEnd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Благовещение, </w:t>
      </w:r>
      <w:proofErr w:type="spellStart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>Елнать-Беляево</w:t>
      </w:r>
      <w:proofErr w:type="spellEnd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>Елнать-Затон</w:t>
      </w:r>
      <w:proofErr w:type="spellEnd"/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>, Юрьевец – Лобаны, подъезд к д. Пелевино.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Железнодорожный транспорт отсутствует.</w:t>
      </w:r>
      <w:r w:rsidRPr="006D7B5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</w:t>
      </w:r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ля борьбы с шумом эффективна посадка деревьев, снижающих уровень шума, содержание в надлежащем состоянии дорожного покрытия.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Для защиты застройки от шума и выхлопных газов необходимо предусматривать вдоль дорог полосу зеленых насаждений шириной не менее </w:t>
      </w:r>
      <w:smartTag w:uri="urn:schemas-microsoft-com:office:smarttags" w:element="metricconverter">
        <w:smartTagPr>
          <w:attr w:name="ProductID" w:val="10 м"/>
        </w:smartTagPr>
        <w:r w:rsidRPr="00AF1FF2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10 м</w:t>
        </w:r>
      </w:smartTag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(согласно СП 42.13330.2011 «</w:t>
      </w:r>
      <w:proofErr w:type="spellStart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СНиП</w:t>
      </w:r>
      <w:proofErr w:type="spellEnd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2.07.01.</w:t>
      </w:r>
      <w:proofErr w:type="gramEnd"/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Градостроительство. Планировка и застройка городских и сельских поселений» от 28 декабря </w:t>
      </w:r>
      <w:smartTag w:uri="urn:schemas-microsoft-com:office:smarttags" w:element="metricconverter">
        <w:smartTagPr>
          <w:attr w:name="ProductID" w:val="2010 г"/>
        </w:smartTagPr>
        <w:r w:rsidRPr="00AF1FF2">
          <w:rPr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>2010</w:t>
        </w:r>
      </w:smartTag>
      <w:r w:rsidRPr="00AF1FF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г № 820 пункт 8.20 и 8.21</w:t>
      </w:r>
    </w:p>
    <w:p w:rsidR="009828CF" w:rsidRPr="00CE77B3" w:rsidRDefault="006D7B5D" w:rsidP="00CE77B3">
      <w:pPr>
        <w:spacing w:after="0" w:line="240" w:lineRule="auto"/>
        <w:rPr>
          <w:i/>
          <w:lang w:val="ru-RU"/>
        </w:rPr>
      </w:pPr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целях защиты от воздействия электрического поля, создаваемого линиями электропередачи напряжением 0,4 кВ; 10 кВ; 35 кВ, 110 кВ, установлены охранные зоны 2, 10, 15, </w:t>
      </w:r>
      <w:smartTag w:uri="urn:schemas-microsoft-com:office:smarttags" w:element="metricconverter">
        <w:smartTagPr>
          <w:attr w:name="ProductID" w:val="20 м"/>
        </w:smartTagPr>
        <w:r w:rsidRPr="006D7B5D">
          <w:rPr>
            <w:rFonts w:ascii="Times New Roman" w:hAnsi="Times New Roman" w:cs="Times New Roman"/>
            <w:bCs/>
            <w:sz w:val="24"/>
            <w:szCs w:val="24"/>
            <w:lang w:val="ru-RU"/>
          </w:rPr>
          <w:t>20 м</w:t>
        </w:r>
      </w:smartTag>
      <w:r w:rsidRPr="006D7B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согласно (ГОСТ 12.1.051-90 «Охранные зоны линий электропередачи»).</w:t>
      </w:r>
      <w:r w:rsidR="00913E02" w:rsidRPr="00913E02">
        <w:rPr>
          <w:lang w:val="ru-RU"/>
        </w:rPr>
        <w:t xml:space="preserve"> </w:t>
      </w:r>
      <w:r w:rsidR="00913E02" w:rsidRP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Теплоснабжение </w:t>
      </w:r>
      <w:r w:rsid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преимущественно индивидуальное, небольшую часть жилого фонда </w:t>
      </w:r>
      <w:r w:rsidR="00CE77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нежилых зданий </w:t>
      </w:r>
      <w:r w:rsidR="00913E02" w:rsidRPr="00913E02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CE77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тапливают </w:t>
      </w:r>
      <w:r w:rsidR="00913E02" w:rsidRPr="00913E0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E77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угольные </w:t>
      </w:r>
      <w:r w:rsidR="00913E02" w:rsidRPr="00913E02">
        <w:rPr>
          <w:rFonts w:ascii="Times New Roman" w:hAnsi="Times New Roman" w:cs="Times New Roman"/>
          <w:bCs/>
          <w:sz w:val="24"/>
          <w:szCs w:val="24"/>
          <w:lang w:val="ru-RU"/>
        </w:rPr>
        <w:t>котельн</w:t>
      </w:r>
      <w:r w:rsidR="00CE77B3">
        <w:rPr>
          <w:rFonts w:ascii="Times New Roman" w:hAnsi="Times New Roman" w:cs="Times New Roman"/>
          <w:bCs/>
          <w:sz w:val="24"/>
          <w:szCs w:val="24"/>
          <w:lang w:val="ru-RU"/>
        </w:rPr>
        <w:t>ые.</w:t>
      </w:r>
      <w:bookmarkStart w:id="1" w:name="_Toc482964973"/>
      <w:bookmarkStart w:id="2" w:name="bookmark236"/>
      <w:bookmarkStart w:id="3" w:name="_Toc108517133"/>
      <w:bookmarkStart w:id="4" w:name="_Toc154471703"/>
    </w:p>
    <w:p w:rsidR="006E0CA2" w:rsidRPr="000B7A3E" w:rsidRDefault="006E0CA2" w:rsidP="00982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0B7A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Перечень основных факторов риска возникновения техногенных чрезвычайных ситуаций</w:t>
      </w:r>
      <w:bookmarkEnd w:id="2"/>
      <w:bookmarkEnd w:id="3"/>
      <w:bookmarkEnd w:id="4"/>
    </w:p>
    <w:bookmarkEnd w:id="1"/>
    <w:p w:rsidR="006E0CA2" w:rsidRPr="00CE77B3" w:rsidRDefault="006E0CA2" w:rsidP="006C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700">
        <w:rPr>
          <w:rFonts w:ascii="Times New Roman" w:hAnsi="Times New Roman" w:cs="Times New Roman"/>
          <w:sz w:val="24"/>
          <w:szCs w:val="24"/>
          <w:lang w:val="ru-RU"/>
        </w:rPr>
        <w:t>К техногенным источникам возникновения чрезвычайных ситуаций в соответствии с ГОСТ 22.0.05-97 относятся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 опасные объекты экономики, на которых возможны п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>ромышленные аварии и катастрофы (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>поселения отсутствуют), о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>пасности на системах жизнеобеспечения, связанные с возможными крупными авариями в электроэнергетике, на межпоселковых газопроводах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A3E" w:rsidRPr="000B7A3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 xml:space="preserve">планируются </w:t>
      </w:r>
      <w:r w:rsidR="000B7A3E" w:rsidRPr="000B7A3E">
        <w:rPr>
          <w:rFonts w:ascii="Times New Roman" w:hAnsi="Times New Roman" w:cs="Times New Roman"/>
          <w:sz w:val="24"/>
          <w:szCs w:val="24"/>
          <w:lang w:val="ru-RU"/>
        </w:rPr>
        <w:t>на территории поселения),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на источниках теплосна</w:t>
      </w:r>
      <w:r w:rsidR="000B7A3E">
        <w:rPr>
          <w:rFonts w:ascii="Times New Roman" w:hAnsi="Times New Roman" w:cs="Times New Roman"/>
          <w:sz w:val="24"/>
          <w:szCs w:val="24"/>
          <w:lang w:val="ru-RU"/>
        </w:rPr>
        <w:t>бжения, на тепловых магистралях, т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>рансп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>орт</w:t>
      </w:r>
      <w:proofErr w:type="gramStart"/>
      <w:r w:rsidR="00CE77B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E77B3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иолого-социальных ситуаций: эпидемий, эпизоотий, эпифитотий 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gramStart"/>
      <w:r w:rsidRPr="00220700">
        <w:rPr>
          <w:rFonts w:ascii="Times New Roman" w:hAnsi="Times New Roman" w:cs="Times New Roman"/>
          <w:sz w:val="24"/>
          <w:szCs w:val="24"/>
          <w:lang w:val="ru-RU"/>
        </w:rPr>
        <w:t>последние</w:t>
      </w:r>
      <w:proofErr w:type="gramEnd"/>
      <w:r w:rsidRPr="00220700">
        <w:rPr>
          <w:rFonts w:ascii="Times New Roman" w:hAnsi="Times New Roman" w:cs="Times New Roman"/>
          <w:sz w:val="24"/>
          <w:szCs w:val="24"/>
          <w:lang w:val="ru-RU"/>
        </w:rPr>
        <w:t xml:space="preserve"> 15-20 лет в сельском поселении зафиксировано не было</w:t>
      </w:r>
      <w:r w:rsidR="00CE77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0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spellStart"/>
      <w:r w:rsidRPr="002207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пожаро-взрывоопасны</w:t>
      </w:r>
      <w:r w:rsidR="006C0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r w:rsidRPr="002207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объекта</w:t>
      </w:r>
      <w:r w:rsidR="006C0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2207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территории поселения </w:t>
      </w:r>
      <w:r w:rsidR="006C0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 отнести</w:t>
      </w:r>
      <w:r w:rsidRPr="002207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котельные.</w:t>
      </w:r>
      <w:r w:rsidR="006C0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Существует риск природных пожаров на необрабатываемых землях. В целях пожарной безопасности </w:t>
      </w:r>
      <w:r w:rsidR="006C0610" w:rsidRPr="006C0610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  Елнатского сельского поселения </w:t>
      </w:r>
      <w:r w:rsidR="006C0610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</w:t>
      </w:r>
      <w:r w:rsidR="006C0610" w:rsidRPr="006C0610">
        <w:rPr>
          <w:rFonts w:ascii="Times New Roman" w:hAnsi="Times New Roman" w:cs="Times New Roman"/>
          <w:sz w:val="24"/>
          <w:szCs w:val="24"/>
          <w:lang w:val="ru-RU"/>
        </w:rPr>
        <w:t>Реестр противопожарного водоснабжения</w:t>
      </w:r>
      <w:r w:rsidR="008C4E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0610" w:rsidRPr="006C0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20585" w:rsidRPr="00320585" w:rsidRDefault="00320585">
      <w:pPr>
        <w:rPr>
          <w:b/>
          <w:sz w:val="24"/>
          <w:szCs w:val="24"/>
          <w:lang w:val="ru-RU"/>
        </w:rPr>
      </w:pPr>
    </w:p>
    <w:sectPr w:rsidR="00320585" w:rsidRPr="00320585" w:rsidSect="00F836D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20F"/>
    <w:multiLevelType w:val="hybridMultilevel"/>
    <w:tmpl w:val="01EAD82E"/>
    <w:lvl w:ilvl="0" w:tplc="0F688F8C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E5AB3"/>
    <w:multiLevelType w:val="hybridMultilevel"/>
    <w:tmpl w:val="77FC6282"/>
    <w:lvl w:ilvl="0" w:tplc="2B6C1C7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5475B"/>
    <w:multiLevelType w:val="multilevel"/>
    <w:tmpl w:val="9C084E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E6666B7"/>
    <w:multiLevelType w:val="hybridMultilevel"/>
    <w:tmpl w:val="3050BEEE"/>
    <w:lvl w:ilvl="0" w:tplc="297CD5C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A02417"/>
    <w:multiLevelType w:val="hybridMultilevel"/>
    <w:tmpl w:val="5F7A2024"/>
    <w:lvl w:ilvl="0" w:tplc="2A16F674">
      <w:start w:val="1"/>
      <w:numFmt w:val="decimal"/>
      <w:lvlText w:val="%1)"/>
      <w:lvlJc w:val="left"/>
      <w:pPr>
        <w:ind w:left="1134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5BC5B30"/>
    <w:multiLevelType w:val="hybridMultilevel"/>
    <w:tmpl w:val="2BE2061C"/>
    <w:lvl w:ilvl="0" w:tplc="844CD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0B14A7"/>
    <w:multiLevelType w:val="multilevel"/>
    <w:tmpl w:val="A1D619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FDB1A2B"/>
    <w:multiLevelType w:val="hybridMultilevel"/>
    <w:tmpl w:val="E3F27224"/>
    <w:lvl w:ilvl="0" w:tplc="EFE84D9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2DF6AA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F073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FAA3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AD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CA5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70DA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1EB2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1E3C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C53777"/>
    <w:multiLevelType w:val="hybridMultilevel"/>
    <w:tmpl w:val="1E2262D2"/>
    <w:lvl w:ilvl="0" w:tplc="422C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7363"/>
    <w:multiLevelType w:val="hybridMultilevel"/>
    <w:tmpl w:val="F5464740"/>
    <w:lvl w:ilvl="0" w:tplc="422CEA5A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6C2AA5"/>
    <w:multiLevelType w:val="hybridMultilevel"/>
    <w:tmpl w:val="942265B2"/>
    <w:lvl w:ilvl="0" w:tplc="04F43D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2453942"/>
    <w:multiLevelType w:val="hybridMultilevel"/>
    <w:tmpl w:val="A30A5ABE"/>
    <w:lvl w:ilvl="0" w:tplc="0419000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976204A"/>
    <w:multiLevelType w:val="hybridMultilevel"/>
    <w:tmpl w:val="C220C508"/>
    <w:lvl w:ilvl="0" w:tplc="422CEA5A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73177A"/>
    <w:multiLevelType w:val="hybridMultilevel"/>
    <w:tmpl w:val="990E3A64"/>
    <w:lvl w:ilvl="0" w:tplc="844CD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F580E"/>
    <w:multiLevelType w:val="multilevel"/>
    <w:tmpl w:val="55EA6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7DF66DD"/>
    <w:multiLevelType w:val="hybridMultilevel"/>
    <w:tmpl w:val="3A46149A"/>
    <w:lvl w:ilvl="0" w:tplc="0419000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320585"/>
    <w:rsid w:val="000A015D"/>
    <w:rsid w:val="000B7A3E"/>
    <w:rsid w:val="001035C3"/>
    <w:rsid w:val="001E7005"/>
    <w:rsid w:val="0020728D"/>
    <w:rsid w:val="002F0013"/>
    <w:rsid w:val="00320585"/>
    <w:rsid w:val="003E5727"/>
    <w:rsid w:val="00436B58"/>
    <w:rsid w:val="00472792"/>
    <w:rsid w:val="00483575"/>
    <w:rsid w:val="00487940"/>
    <w:rsid w:val="00523C7C"/>
    <w:rsid w:val="005A0246"/>
    <w:rsid w:val="005C1DB2"/>
    <w:rsid w:val="006A0426"/>
    <w:rsid w:val="006C0610"/>
    <w:rsid w:val="006D7B5D"/>
    <w:rsid w:val="006E0CA2"/>
    <w:rsid w:val="00786DD8"/>
    <w:rsid w:val="007E28D5"/>
    <w:rsid w:val="007F5691"/>
    <w:rsid w:val="008C4E50"/>
    <w:rsid w:val="00913E02"/>
    <w:rsid w:val="0092067B"/>
    <w:rsid w:val="009828CF"/>
    <w:rsid w:val="009A1CC2"/>
    <w:rsid w:val="00A4723C"/>
    <w:rsid w:val="00AF1FF2"/>
    <w:rsid w:val="00AF5B17"/>
    <w:rsid w:val="00B15865"/>
    <w:rsid w:val="00CB1701"/>
    <w:rsid w:val="00CE77B3"/>
    <w:rsid w:val="00CF0C57"/>
    <w:rsid w:val="00D97CF2"/>
    <w:rsid w:val="00DD128D"/>
    <w:rsid w:val="00E01481"/>
    <w:rsid w:val="00E17DFF"/>
    <w:rsid w:val="00E9535A"/>
    <w:rsid w:val="00EF7635"/>
    <w:rsid w:val="00F836D6"/>
    <w:rsid w:val="00FC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,lp1"/>
    <w:basedOn w:val="a"/>
    <w:link w:val="ac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723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  <w:style w:type="character" w:customStyle="1" w:styleId="ac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,lp1 Знак"/>
    <w:link w:val="ab"/>
    <w:qFormat/>
    <w:locked/>
    <w:rsid w:val="00F836D6"/>
  </w:style>
  <w:style w:type="paragraph" w:customStyle="1" w:styleId="Style14">
    <w:name w:val="Style14"/>
    <w:basedOn w:val="a"/>
    <w:uiPriority w:val="99"/>
    <w:rsid w:val="006E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8">
    <w:name w:val="Style48"/>
    <w:basedOn w:val="a"/>
    <w:uiPriority w:val="99"/>
    <w:rsid w:val="006E0C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70">
    <w:name w:val="Font Style170"/>
    <w:uiPriority w:val="99"/>
    <w:rsid w:val="006E0CA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3">
    <w:name w:val="Font Style173"/>
    <w:uiPriority w:val="99"/>
    <w:rsid w:val="006E0CA2"/>
    <w:rPr>
      <w:rFonts w:ascii="Times New Roman" w:hAnsi="Times New Roman" w:cs="Times New Roman"/>
      <w:sz w:val="26"/>
      <w:szCs w:val="26"/>
    </w:rPr>
  </w:style>
  <w:style w:type="paragraph" w:customStyle="1" w:styleId="Style104">
    <w:name w:val="Style104"/>
    <w:basedOn w:val="a"/>
    <w:uiPriority w:val="99"/>
    <w:rsid w:val="006E0CA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Segoe UI" w:eastAsia="Times New Roman" w:hAnsi="Segoe UI" w:cs="Segoe UI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AF5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cvf.ru/ru/zs/ivanovskaya-oblast-klyuchevye-ornitologicheskie-territorii-vpc-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246</TotalTime>
  <Pages>3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2024-02-02T06:53:00Z</dcterms:created>
  <dcterms:modified xsi:type="dcterms:W3CDTF">2024-02-06T09:57:00Z</dcterms:modified>
</cp:coreProperties>
</file>